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ConsPlusNormal"/>
        <w:jc w:val="right"/>
        <w:rPr>
          <w:rFonts w:ascii="Courier New" w:hAnsi="Courier New" w:cs="Courier New"/>
          <w:color w:val="000000" w:themeColor="text1"/>
          <w:sz w:val="16"/>
          <w:szCs w:val="16"/>
        </w:rPr>
      </w:pP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Приложение N 1</w:t>
      </w:r>
    </w:p>
    <w:p>
      <w:pPr>
        <w:pStyle w:val="ConsPlusNormal"/>
        <w:jc w:val="right"/>
        <w:rPr>
          <w:rFonts w:ascii="Courier New" w:hAnsi="Courier New" w:cs="Courier New"/>
          <w:color w:val="000000" w:themeColor="text1"/>
          <w:sz w:val="16"/>
          <w:szCs w:val="16"/>
        </w:rPr>
      </w:pP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к</w:t>
      </w: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 </w:t>
      </w:r>
      <w:hyperlink r:id="rId6">
        <w:r>
          <w:rPr>
            <w:rFonts w:ascii="Courier New" w:hAnsi="Courier New" w:cs="Courier New"/>
            <w:color w:val="000000" w:themeColor="text1"/>
            <w:sz w:val="16"/>
            <w:szCs w:val="16"/>
          </w:rPr>
          <w:t xml:space="preserve">Порядку</w:t>
        </w:r>
      </w:hyperlink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 ведения личного кабинета</w:t>
      </w:r>
    </w:p>
    <w:p>
      <w:pPr>
        <w:pStyle w:val="ConsPlusNormal"/>
        <w:jc w:val="right"/>
        <w:rPr>
          <w:rFonts w:ascii="Courier New" w:hAnsi="Courier New" w:cs="Courier New"/>
          <w:color w:val="000000" w:themeColor="text1"/>
          <w:sz w:val="16"/>
          <w:szCs w:val="16"/>
        </w:rPr>
      </w:pP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налогоплательщика</w:t>
      </w: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, утвержденному</w:t>
      </w:r>
    </w:p>
    <w:p>
      <w:pPr>
        <w:pStyle w:val="ConsPlusNormal"/>
        <w:jc w:val="right"/>
        <w:rPr>
          <w:rFonts w:ascii="Courier New" w:hAnsi="Courier New" w:cs="Courier New"/>
          <w:color w:val="000000" w:themeColor="text1"/>
          <w:sz w:val="16"/>
          <w:szCs w:val="16"/>
        </w:rPr>
      </w:pP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Приказом ФНС России</w:t>
      </w:r>
    </w:p>
    <w:p>
      <w:pPr>
        <w:pStyle w:val="ConsPlusNormal"/>
        <w:jc w:val="right"/>
        <w:rPr>
          <w:rFonts w:ascii="Courier New" w:hAnsi="Courier New" w:cs="Courier New"/>
          <w:color w:val="000000" w:themeColor="text1"/>
          <w:sz w:val="16"/>
          <w:szCs w:val="16"/>
        </w:rPr>
      </w:pP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от</w:t>
      </w: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 22.08.2017 N ММВ-7-17/617@</w:t>
      </w:r>
    </w:p>
    <w:p>
      <w:pPr>
        <w:pStyle w:val="ConsPlusNormal"/>
        <w:jc w:val="right"/>
        <w:rPr>
          <w:rFonts w:ascii="Courier New" w:hAnsi="Courier New" w:cs="Courier New"/>
          <w:color w:val="000000" w:themeColor="text1"/>
          <w:sz w:val="16"/>
          <w:szCs w:val="16"/>
        </w:rPr>
      </w:pP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(</w:t>
      </w: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в</w:t>
      </w: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 ред. </w:t>
      </w:r>
      <w:hyperlink r:id="rId7">
        <w:r>
          <w:rPr>
            <w:rFonts w:ascii="Courier New" w:hAnsi="Courier New" w:cs="Courier New"/>
            <w:color w:val="000000" w:themeColor="text1"/>
            <w:sz w:val="16"/>
            <w:szCs w:val="16"/>
          </w:rPr>
          <w:t xml:space="preserve">Приказа</w:t>
        </w:r>
      </w:hyperlink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 ФНС России</w:t>
      </w:r>
    </w:p>
    <w:p>
      <w:pPr>
        <w:pStyle w:val="ConsPlusNormal"/>
        <w:jc w:val="right"/>
        <w:rPr>
          <w:rFonts w:ascii="Courier New" w:hAnsi="Courier New" w:cs="Courier New"/>
          <w:color w:val="000000" w:themeColor="text1"/>
          <w:sz w:val="16"/>
          <w:szCs w:val="16"/>
        </w:rPr>
      </w:pP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от</w:t>
      </w:r>
      <w:r>
        <w:rPr>
          <w:rFonts w:ascii="Courier New" w:hAnsi="Courier New" w:cs="Courier New"/>
          <w:color w:val="000000" w:themeColor="text1"/>
          <w:sz w:val="16"/>
          <w:szCs w:val="16"/>
        </w:rPr>
        <w:t xml:space="preserve"> 06.11.2018 N ММВ-7-19/627@)</w:t>
      </w:r>
    </w:p>
    <w:p>
      <w:pPr>
        <w:pStyle w:val="ConsPlusNormal"/>
        <w:ind w:firstLine="540"/>
        <w:jc w:val="both"/>
        <w:outlineLvl w:val="0"/>
        <w:rPr>
          <w:rFonts w:ascii="Courier New" w:hAnsi="Courier New" w:cs="Courier New"/>
          <w:color w:val="000000" w:themeColor="text1"/>
          <w:sz w:val="16"/>
          <w:szCs w:val="16"/>
        </w:rPr>
      </w:pP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┌─┬─┬─┬─┐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Код налогового органа │4│6│3│2│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└─┴─┴─┴─┘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  <w:sz w:val="18"/>
        </w:rPr>
        <w:t xml:space="preserve">Форма по КНД 1116102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</w:t>
      </w:r>
      <w:hyperlink r:id="rId8">
        <w:r>
          <w:rPr>
            <w:color w:val="000000" w:themeColor="text1"/>
          </w:rPr>
          <w:t xml:space="preserve">Заявление</w:t>
        </w:r>
      </w:hyperlink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</w:t>
      </w:r>
      <w:r>
        <w:rPr>
          <w:color w:val="000000" w:themeColor="text1"/>
        </w:rPr>
        <w:t xml:space="preserve">на</w:t>
      </w:r>
      <w:r>
        <w:rPr>
          <w:color w:val="000000" w:themeColor="text1"/>
        </w:rPr>
        <w:t xml:space="preserve"> получение доступа к личному кабинету налогоплательщика</w:t>
      </w:r>
    </w:p>
    <w:p>
      <w:pPr>
        <w:pStyle w:val="ConsPlusNonformat"/>
        <w:jc w:val="both"/>
        <w:rPr>
          <w:color w:val="000000" w:themeColor="text1"/>
        </w:rPr>
      </w:pPr>
    </w:p>
    <w:p>
      <w:pPr>
        <w:pStyle w:val="ConsPlusNonformat"/>
        <w:jc w:val="both"/>
      </w:pPr>
      <w:r>
        <w:rPr>
          <w:color w:val="000000" w:themeColor="text1"/>
        </w:rPr>
        <w:t xml:space="preserve">┌─┬─┬─┬─┬─┬─┬─┬─┬─┬─┬─┬─┬─┬─┬─┬─┬─┬─┬─┬─┬─┬─┬─┬─┬─┬─┬─┬─┬─┬─┬─┬─┬─┬</w:t>
      </w:r>
      <w:r>
        <w:t xml:space="preserve">─┬─┬─┬─┬─┬─┬─┐</w:t>
      </w:r>
    </w:p>
    <w:p>
      <w:pPr>
        <w:pStyle w:val="ConsPlusNonformat"/>
        <w:jc w:val="both"/>
      </w:pPr>
      <w:r>
        <w:t xml:space="preserve">│С│И│Н│И│Ц│Ы│Н│А│-│-│-│-│-│-│-│-│-│-│-│-│-│-│-│-│-│-│-│-│-│-│-│-│-│-│-│-│-│-│-│-│</w:t>
      </w:r>
    </w:p>
    <w:p>
      <w:pPr>
        <w:pStyle w:val="ConsPlusNonformat"/>
        <w:jc w:val="both"/>
      </w:pPr>
      <w:r>
        <w:t xml:space="preserve"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>
      <w:pPr>
        <w:pStyle w:val="ConsPlusNonformat"/>
        <w:jc w:val="both"/>
      </w:pPr>
      <w:r>
        <w:t xml:space="preserve"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>
      <w:pPr>
        <w:pStyle w:val="ConsPlusNonformat"/>
        <w:jc w:val="both"/>
      </w:pPr>
      <w:r>
        <w:t xml:space="preserve">│Д│А│Р│Ь│Я│-│-│-│-│-│-│-│-│-│-│-│-│-│-│-│-│-│-│-│-│-│-│-│-│-│-│-│-│-│-│-│-│-│-│-│</w:t>
      </w:r>
    </w:p>
    <w:p>
      <w:pPr>
        <w:pStyle w:val="ConsPlusNonformat"/>
        <w:jc w:val="both"/>
      </w:pPr>
      <w:r>
        <w:t xml:space="preserve"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>
      <w:pPr>
        <w:pStyle w:val="ConsPlusNonformat"/>
        <w:jc w:val="both"/>
      </w:pPr>
      <w:r>
        <w:t xml:space="preserve"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>
      <w:pPr>
        <w:pStyle w:val="ConsPlusNonformat"/>
        <w:jc w:val="both"/>
      </w:pPr>
      <w:r>
        <w:t xml:space="preserve">│В│Л│А│Д│И│М│И│Р│О│В│Н│А│-│-│-│-│-│-│-│-│-│-│-│-│-│-│-│-│-│-│-│-│-│-│-│-│-│-│-│-│</w:t>
      </w:r>
    </w:p>
    <w:p>
      <w:pPr>
        <w:pStyle w:val="ConsPlusNonformat"/>
        <w:jc w:val="both"/>
      </w:pPr>
      <w:r>
        <w:t xml:space="preserve"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>
      <w:pPr>
        <w:pStyle w:val="ConsPlusNonformat"/>
        <w:jc w:val="both"/>
      </w:pPr>
      <w:r>
        <w:t xml:space="preserve"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>
      <w:pPr>
        <w:pStyle w:val="ConsPlusNonformat"/>
        <w:jc w:val="both"/>
      </w:pPr>
      <w:r>
        <w:t xml:space="preserve">│-│-│-│-│-│-│-│-│-│-│-│-│-│-│-│-│-│-│-│-│-│-│-│-│-│-│-│-│-│-│-│-│-│-│-│-│-│-│-│-│</w:t>
      </w:r>
    </w:p>
    <w:p>
      <w:pPr>
        <w:pStyle w:val="ConsPlusNonformat"/>
        <w:jc w:val="both"/>
      </w:pPr>
      <w:r>
        <w:t xml:space="preserve"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Фамилия, имя, отчество </w:t>
      </w:r>
      <w:hyperlink w:anchor="P68">
        <w:r>
          <w:rPr>
            <w:color w:val="000000" w:themeColor="text1"/>
          </w:rPr>
          <w:t xml:space="preserve">&lt;1&gt;</w:t>
        </w:r>
      </w:hyperlink>
      <w:r>
        <w:rPr>
          <w:color w:val="000000" w:themeColor="text1"/>
        </w:rPr>
        <w:t xml:space="preserve"> физического лица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┌─┬─┬─┬─┬─┬─┬─┬─┬─┬─┬─┬─┐                   ┌─┬─┬─┬─┬─┬─┬─┬─┬─┬─┬─┬─┐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ИНН </w:t>
      </w:r>
      <w:hyperlink w:anchor="P68">
        <w:r>
          <w:rPr>
            <w:color w:val="000000" w:themeColor="text1"/>
          </w:rPr>
          <w:t xml:space="preserve">&lt;1&gt;</w:t>
        </w:r>
      </w:hyperlink>
      <w:r>
        <w:rPr>
          <w:color w:val="000000" w:themeColor="text1"/>
        </w:rPr>
        <w:t xml:space="preserve"> │4│6│3│2│1│1│0│0│0│1│9│7│       </w:t>
      </w:r>
      <w:r>
        <w:rPr>
          <w:color w:val="000000" w:themeColor="text1"/>
        </w:rPr>
        <w:t xml:space="preserve">Контактный  │</w:t>
      </w:r>
      <w:r>
        <w:rPr>
          <w:color w:val="000000" w:themeColor="text1"/>
        </w:rPr>
        <w:t xml:space="preserve">+│7│9│2│6│1│0│0│1│5│2│0│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└─┴─┴─┴─┴─┴─┴─┴─┴─┴─┴─┴─┘       телефон     └─┴─┴─┴─┴─┴─┴─┴─┴─┴─┴─┴─┘</w:t>
      </w:r>
    </w:p>
    <w:p>
      <w:pPr>
        <w:pStyle w:val="ConsPlusNonformat"/>
        <w:jc w:val="both"/>
        <w:rPr>
          <w:color w:val="000000" w:themeColor="text1"/>
        </w:rPr>
      </w:pP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Сведения о документе, удостоверяющем личность физического лица </w:t>
      </w:r>
      <w:hyperlink w:anchor="P69">
        <w:r>
          <w:rPr>
            <w:color w:val="000000" w:themeColor="text1"/>
          </w:rPr>
          <w:t xml:space="preserve">&lt;2&gt;</w:t>
        </w:r>
      </w:hyperlink>
      <w:r>
        <w:rPr>
          <w:color w:val="000000" w:themeColor="text1"/>
        </w:rPr>
        <w:t xml:space="preserve">:</w:t>
      </w:r>
    </w:p>
    <w:p>
      <w:pPr>
        <w:pStyle w:val="ConsPlusNonformat"/>
        <w:jc w:val="both"/>
        <w:rPr>
          <w:color w:val="000000" w:themeColor="text1"/>
        </w:rPr>
      </w:pP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┌─┬─┬─┬─┬─┬─┬─┬─┬─┬─┬─┬─┬─┬─┬─┬─┬─┬─┬─┬─┬─┬─┬─┬─┬─┬─┬─┬─┬─┐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Наименование          │П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А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С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П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О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Р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Т</w:t>
      </w:r>
      <w:r>
        <w:rPr>
          <w:color w:val="000000" w:themeColor="text1"/>
        </w:rPr>
        <w:t xml:space="preserve">│-│-│-│-│-│-│-│-│-│-│-│-│-│-│-│-│-│-│-│-│-│-│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документа</w:t>
      </w:r>
      <w:r>
        <w:rPr>
          <w:color w:val="000000" w:themeColor="text1"/>
        </w:rPr>
        <w:t xml:space="preserve">             └─┴─┴─┴─┴─┴─┴─┴─┴─┴─┴─┴─┴─┴─┴─┴─┴─┴─┴─┴─┴─┴─┴─┴─┴─┴─┴─┴─┴─┘</w:t>
      </w:r>
    </w:p>
    <w:p>
      <w:pPr>
        <w:pStyle w:val="ConsPlusNonformat"/>
        <w:jc w:val="both"/>
        <w:rPr>
          <w:color w:val="000000" w:themeColor="text1"/>
        </w:rPr>
      </w:pP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┌─┬─┬─┬─┬─┬─┬─┬─┬─┬─┬─┬─┐             ┌─┬─┐ ┌─┬─┐ ┌─┬─┬─┬─┐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Серия и номер │</w:t>
      </w:r>
      <w:r>
        <w:rPr>
          <w:color w:val="000000" w:themeColor="text1"/>
        </w:rPr>
        <w:t xml:space="preserve">6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1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1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8│-│-│-│-│-│-│-│-│ Дата выдачи │0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8</w:t>
      </w:r>
      <w:r>
        <w:rPr>
          <w:color w:val="000000" w:themeColor="text1"/>
        </w:rPr>
        <w:t xml:space="preserve">│ │</w:t>
      </w:r>
      <w:r>
        <w:rPr>
          <w:color w:val="000000" w:themeColor="text1"/>
        </w:rPr>
        <w:t xml:space="preserve">1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0</w:t>
      </w:r>
      <w:r>
        <w:rPr>
          <w:color w:val="000000" w:themeColor="text1"/>
        </w:rPr>
        <w:t xml:space="preserve">│ │</w:t>
      </w:r>
      <w:r>
        <w:rPr>
          <w:color w:val="000000" w:themeColor="text1"/>
        </w:rPr>
        <w:t xml:space="preserve">2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0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1</w:t>
      </w:r>
      <w:r>
        <w:rPr>
          <w:color w:val="000000" w:themeColor="text1"/>
        </w:rPr>
        <w:t xml:space="preserve">│</w:t>
      </w:r>
      <w:r>
        <w:rPr>
          <w:color w:val="000000" w:themeColor="text1"/>
        </w:rPr>
        <w:t xml:space="preserve">8</w:t>
      </w:r>
      <w:bookmarkStart w:id="0" w:name="_GoBack"/>
      <w:bookmarkEnd w:id="0"/>
      <w:r>
        <w:rPr>
          <w:color w:val="000000" w:themeColor="text1"/>
        </w:rPr>
        <w:t xml:space="preserve">│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└─┴─┴─┴─┴─┴─┴─┴─┴─┴─┴─┴─┘             └─┴─┘ └─┴─┘ └─┴─┴─┴─┘</w:t>
      </w:r>
    </w:p>
    <w:p>
      <w:pPr>
        <w:pStyle w:val="ConsPlusNonformat"/>
        <w:jc w:val="both"/>
        <w:rPr>
          <w:color w:val="000000" w:themeColor="text1"/>
        </w:rPr>
      </w:pP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┌─┐ 1 - выдать Регистрационную карту для получения доступа к личному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Прошу │1│     кабинету налогоплательщика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└─┘ 2 - выдать новый пароль для получения доступа к личному кабинету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</w:t>
      </w:r>
      <w:r>
        <w:rPr>
          <w:color w:val="000000" w:themeColor="text1"/>
        </w:rPr>
        <w:t xml:space="preserve">налогоплательщика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3 - прекратить доступ к личному кабинету налогоплательщика</w:t>
      </w:r>
    </w:p>
    <w:p>
      <w:pPr>
        <w:pStyle w:val="ConsPlusNonformat"/>
        <w:jc w:val="both"/>
        <w:rPr>
          <w:color w:val="000000" w:themeColor="text1"/>
        </w:rPr>
      </w:pP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Способ получения Регистрационной карты ┌─┐ 1 - непосредственно в налоговом органе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для</w:t>
      </w:r>
      <w:r>
        <w:rPr>
          <w:color w:val="000000" w:themeColor="text1"/>
        </w:rPr>
        <w:t xml:space="preserve"> получения доступа к личному        │2│ 2 - по адресу электронной почты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кабинету</w:t>
      </w:r>
      <w:r>
        <w:rPr>
          <w:color w:val="000000" w:themeColor="text1"/>
        </w:rPr>
        <w:t xml:space="preserve"> налогоплательщика             └─┘</w:t>
      </w:r>
    </w:p>
    <w:p>
      <w:pPr>
        <w:pStyle w:val="ConsPlusNonformat"/>
        <w:jc w:val="both"/>
        <w:rPr>
          <w:color w:val="000000" w:themeColor="text1"/>
        </w:rPr>
      </w:pP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┌─┬─┬─┬─┬─┬─┬─┬─┬─┬─┬─┬─┬─┬─┬─┬─┬─┬─┬─┬─┬─┬─┬─┬─┬─┬─┬─┬─┬─┬─┬─┬─┬─┬─┬─┬─┬─┬─┬─┬─┐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│S│I│N│I│C│H│A</w:t>
      </w:r>
      <w:r>
        <w:rPr>
          <w:color w:val="000000" w:themeColor="text1"/>
        </w:rPr>
        <w:t xml:space="preserve">│.│</w:t>
      </w:r>
      <w:r>
        <w:rPr>
          <w:color w:val="000000" w:themeColor="text1"/>
        </w:rPr>
        <w:t xml:space="preserve">8│2│@│O│I│L│.│O│M│-│-│-│-│-│-│-│-│-│-│-│-│-│-│-│-│-│-│-│-│-│-│-│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└─┴─┴─┴─┴─┴─┴─┴─┴─┴─┴─┴─┴─┴─┴─┴─┴─┴─┴─┴─┴─┴─┴─┴─┴─┴─┴─┴─┴─┴─┴─┴─┴─┴─┴─┴─┴─┴─┴─┴─┘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Адрес электронной почты </w:t>
      </w:r>
      <w:hyperlink w:anchor="P70">
        <w:r>
          <w:rPr>
            <w:color w:val="000000" w:themeColor="text1"/>
          </w:rPr>
          <w:t xml:space="preserve">&lt;3&gt;</w:t>
        </w:r>
      </w:hyperlink>
    </w:p>
    <w:p>
      <w:pPr>
        <w:pStyle w:val="ConsPlusNonformat"/>
        <w:jc w:val="both"/>
        <w:rPr>
          <w:color w:val="000000" w:themeColor="text1"/>
        </w:rPr>
      </w:pP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Физическое лицо                     СИНИЦЫНА                ┌─┬─┐ ┌─┬─┐ ┌─┬─┬─┬─┐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(</w:t>
      </w:r>
      <w:r>
        <w:rPr>
          <w:color w:val="000000" w:themeColor="text1"/>
        </w:rPr>
        <w:t xml:space="preserve">представитель</w:t>
      </w:r>
      <w:r>
        <w:rPr>
          <w:color w:val="000000" w:themeColor="text1"/>
        </w:rPr>
        <w:t xml:space="preserve">            ______________________________    │2│8│ │0│5│ │2│0│2│6│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физического</w:t>
      </w:r>
      <w:r>
        <w:rPr>
          <w:color w:val="000000" w:themeColor="text1"/>
        </w:rPr>
        <w:t xml:space="preserve"> лица)          (подпись, фамилия, И.О. </w:t>
      </w:r>
      <w:hyperlink w:anchor="P68">
        <w:r>
          <w:rPr>
            <w:color w:val="000000" w:themeColor="text1"/>
          </w:rPr>
          <w:t xml:space="preserve">&lt;1&gt;</w:t>
        </w:r>
      </w:hyperlink>
      <w:r>
        <w:rPr>
          <w:color w:val="000000" w:themeColor="text1"/>
        </w:rPr>
        <w:t xml:space="preserve">)     └─┴─┘ └─┴─┘ └─┴─┴─┴─┘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</w:t>
      </w:r>
      <w:r>
        <w:rPr>
          <w:color w:val="000000" w:themeColor="text1"/>
        </w:rPr>
        <w:t xml:space="preserve">дата</w:t>
      </w:r>
    </w:p>
    <w:p>
      <w:pPr>
        <w:pStyle w:val="ConsPlusNonformat"/>
        <w:jc w:val="both"/>
        <w:rPr>
          <w:color w:val="000000" w:themeColor="text1"/>
        </w:rPr>
      </w:pP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Для  сведения</w:t>
      </w:r>
      <w:r>
        <w:rPr>
          <w:color w:val="000000" w:themeColor="text1"/>
        </w:rPr>
        <w:t xml:space="preserve">:  сохранность  и  неразглашение  логина  и пароля доступа к личному</w:t>
      </w:r>
    </w:p>
    <w:p>
      <w:pPr>
        <w:pStyle w:val="ConsPlusNonformat"/>
        <w:jc w:val="both"/>
        <w:rPr>
          <w:color w:val="000000" w:themeColor="text1"/>
        </w:rPr>
      </w:pPr>
      <w:r>
        <w:rPr>
          <w:color w:val="000000" w:themeColor="text1"/>
        </w:rPr>
        <w:t xml:space="preserve">кабинету</w:t>
      </w:r>
      <w:r>
        <w:rPr>
          <w:color w:val="000000" w:themeColor="text1"/>
        </w:rPr>
        <w:t xml:space="preserve"> налогоплательщика обеспечиваются физическим лицом.</w:t>
      </w:r>
    </w:p>
    <w:p>
      <w:pPr>
        <w:pStyle w:val="ConsPlusNormal"/>
        <w:jc w:val="both"/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 xml:space="preserve">--------------------------------</w:t>
      </w:r>
      <w:bookmarkStart w:id="1" w:name="P68"/>
      <w:bookmarkEnd w:id="1"/>
    </w:p>
    <w:p>
      <w:pPr>
        <w:pStyle w:val="ConsPlusNormal"/>
        <w:jc w:val="both"/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 xml:space="preserve">&lt;1&gt; Указывается при наличии.</w:t>
      </w:r>
    </w:p>
    <w:p>
      <w:pPr>
        <w:pStyle w:val="ConsPlusNormal"/>
        <w:spacing w:before="220"/>
        <w:jc w:val="both"/>
        <w:rPr>
          <w:rFonts w:ascii="Courier New" w:hAnsi="Courier New" w:cs="Courier New"/>
          <w:color w:val="000000" w:themeColor="text1"/>
          <w:sz w:val="20"/>
        </w:rPr>
      </w:pPr>
      <w:bookmarkStart w:id="2" w:name="P69"/>
      <w:bookmarkEnd w:id="2"/>
      <w:r>
        <w:rPr>
          <w:rFonts w:ascii="Courier New" w:hAnsi="Courier New" w:cs="Courier New"/>
          <w:color w:val="000000" w:themeColor="text1"/>
          <w:sz w:val="20"/>
        </w:rPr>
        <w:t xml:space="preserve">&lt;2&gt; В случае представления Заявления о доступе к личному кабинету налогоплательщика представителем физического лица данные поля обязательны для заполнения.</w:t>
      </w:r>
      <w:bookmarkStart w:id="3" w:name="P70"/>
      <w:bookmarkEnd w:id="3"/>
    </w:p>
    <w:p>
      <w:pPr>
        <w:pStyle w:val="ConsPlusNormal"/>
        <w:spacing w:before="220"/>
        <w:jc w:val="both"/>
        <w:rPr>
          <w:rFonts w:ascii="Courier New" w:hAnsi="Courier New" w:cs="Courier New"/>
          <w:color w:val="000000" w:themeColor="text1"/>
          <w:sz w:val="20"/>
        </w:rPr>
      </w:pPr>
      <w:r>
        <w:rPr>
          <w:rFonts w:ascii="Courier New" w:hAnsi="Courier New" w:cs="Courier New"/>
          <w:color w:val="000000" w:themeColor="text1"/>
          <w:sz w:val="20"/>
        </w:rPr>
        <w:t xml:space="preserve">&lt;3&gt; Обязательно для заполнения при выборе физическим лицом способа получения Регистрационной карты для получения доступа к личному кабинету налогоплательщика по адресу электронной почты.</w:t>
      </w:r>
    </w:p>
    <w:sectPr>
      <w:pgSz w:w="11906" w:h="16838"/>
      <w:pgMar w:top="284" w:right="567" w:bottom="142" w:left="993" w:header="709" w:footer="709" w:gutter="0"/>
      <w:cols w:space="708"/>
      <w:docGrid w:linePitch="36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ConsPlusNormal" w:customStyle="1">
    <w:name w:val="ConsPlusNormal"/>
    <w:pPr>
      <w:widowControl w:val="off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paragraph" w:styleId="ConsPlusNonformat" w:customStyle="1">
    <w:name w:val="ConsPlusNonformat"/>
    <w:pPr>
      <w:widowControl w:val="off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hyperlink" Target="https://login.consultant.ru/link/?req=doc&amp;base=LAW&amp;n=312430&amp;dst=100013" TargetMode="External"/><Relationship Id="rId7" Type="http://schemas.openxmlformats.org/officeDocument/2006/relationships/hyperlink" Target="https://login.consultant.ru/link/?req=doc&amp;base=LAW&amp;n=312363&amp;dst=100036" TargetMode="External"/><Relationship Id="rId8" Type="http://schemas.openxmlformats.org/officeDocument/2006/relationships/hyperlink" Target="https://login.consultant.ru/link/?req=doc&amp;base=PAP&amp;n=81193" TargetMode="External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haracters>3777</Characters>
  <CharactersWithSpaces>4431</CharactersWithSpaces>
  <Company/>
  <DocSecurity>0</DocSecurity>
  <HyperlinksChanged>false</HyperlinksChanged>
  <Lines>31</Lines>
  <LinksUpToDate>false</LinksUpToDate>
  <Pages>1</Pages>
  <Paragraphs>8</Paragraphs>
  <ScaleCrop>false</ScaleCrop>
  <SharedDoc>false</SharedDoc>
  <Template>Normal</Template>
  <TotalTime>8</TotalTime>
  <Words>662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Ведель Галина Александровна</dc:creator>
  <cp:keywords/>
  <dc:description/>
  <cp:lastModifiedBy>Ведель Галина Александровна</cp:lastModifiedBy>
  <cp:revision>2</cp:revision>
  <dcterms:created xsi:type="dcterms:W3CDTF">2026-08-28T12:22:00Z</dcterms:created>
  <dcterms:modified xsi:type="dcterms:W3CDTF">2026-08-28T12:35:00Z</dcterms:modified>
</cp:coreProperties>
</file>